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79" w:rsidRDefault="00B7167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B71679" w:rsidRDefault="00B7167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71679" w:rsidRDefault="00B7167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71679" w:rsidRDefault="00D5672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Informativa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ai sensi e per gli effetti degli artt. 13 e 14 del GDPR UE 2016/679, relativi alla tutela del trattamento dei dati personali, </w:t>
      </w:r>
      <w:r>
        <w:rPr>
          <w:rFonts w:asciiTheme="minorHAnsi" w:hAnsiTheme="minorHAnsi" w:cstheme="minorHAnsi"/>
          <w:b/>
          <w:bCs/>
          <w:sz w:val="20"/>
          <w:szCs w:val="20"/>
        </w:rPr>
        <w:t>per operatori economici che partecipano a procedure di affidamento di servizi, forniture, lavori e opere.</w:t>
      </w:r>
    </w:p>
    <w:p w:rsidR="00B71679" w:rsidRDefault="00B71679">
      <w:pPr>
        <w:spacing w:after="0" w:line="240" w:lineRule="auto"/>
        <w:rPr>
          <w:rFonts w:eastAsiaTheme="minorEastAsia" w:cstheme="minorHAnsi"/>
          <w:b/>
          <w:bCs/>
          <w:sz w:val="20"/>
          <w:szCs w:val="20"/>
          <w:lang w:eastAsia="it-IT"/>
        </w:rPr>
      </w:pP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presente informativa, resa ai sensi degli artt. 13 e 14 del Regolamento (UE) 2016/679 – </w:t>
      </w:r>
      <w:r>
        <w:rPr>
          <w:rFonts w:cstheme="minorHAnsi"/>
          <w:i/>
          <w:sz w:val="20"/>
          <w:szCs w:val="20"/>
        </w:rPr>
        <w:t>General Data Protection Regulation</w:t>
      </w:r>
      <w:r>
        <w:rPr>
          <w:rFonts w:cstheme="minorHAnsi"/>
          <w:sz w:val="20"/>
          <w:szCs w:val="20"/>
        </w:rPr>
        <w:t>, destinata agli operatori economici (persone fisiche o soggetti che operano in nome e per conto di persone giuridiche) che parteci</w:t>
      </w:r>
      <w:r>
        <w:rPr>
          <w:rFonts w:cstheme="minorHAnsi"/>
          <w:sz w:val="20"/>
          <w:szCs w:val="20"/>
        </w:rPr>
        <w:t xml:space="preserve">pano alle procedure per l'affidamento di </w:t>
      </w:r>
      <w:r>
        <w:rPr>
          <w:rFonts w:cstheme="minorHAnsi"/>
          <w:bCs/>
          <w:sz w:val="20"/>
          <w:szCs w:val="20"/>
        </w:rPr>
        <w:t>servizi, forniture, lavori e opere</w:t>
      </w:r>
      <w:r>
        <w:rPr>
          <w:rFonts w:cstheme="minorHAnsi"/>
          <w:sz w:val="20"/>
          <w:szCs w:val="20"/>
        </w:rPr>
        <w:t xml:space="preserve"> del </w:t>
      </w:r>
      <w:r>
        <w:rPr>
          <w:rFonts w:cstheme="minorHAnsi"/>
          <w:b/>
          <w:sz w:val="20"/>
          <w:szCs w:val="20"/>
        </w:rPr>
        <w:t>Comune di Afragola</w:t>
      </w:r>
      <w:r>
        <w:rPr>
          <w:rFonts w:cstheme="minorHAnsi"/>
          <w:sz w:val="20"/>
          <w:szCs w:val="20"/>
        </w:rPr>
        <w:t xml:space="preserve"> (in seguito “</w:t>
      </w:r>
      <w:r>
        <w:rPr>
          <w:rFonts w:cstheme="minorHAnsi"/>
          <w:i/>
          <w:sz w:val="20"/>
          <w:szCs w:val="20"/>
        </w:rPr>
        <w:t>Ente</w:t>
      </w:r>
      <w:r>
        <w:rPr>
          <w:rFonts w:cstheme="minorHAnsi"/>
          <w:sz w:val="20"/>
          <w:szCs w:val="20"/>
        </w:rPr>
        <w:t>”).</w:t>
      </w:r>
    </w:p>
    <w:p w:rsidR="00B71679" w:rsidRDefault="00B71679">
      <w:pPr>
        <w:spacing w:after="0" w:line="240" w:lineRule="auto"/>
        <w:ind w:right="-1"/>
        <w:jc w:val="both"/>
        <w:rPr>
          <w:rFonts w:eastAsiaTheme="minorEastAsia" w:cstheme="minorHAnsi"/>
          <w:sz w:val="20"/>
          <w:szCs w:val="20"/>
          <w:lang w:eastAsia="it-IT"/>
        </w:rPr>
      </w:pPr>
    </w:p>
    <w:p w:rsidR="00B71679" w:rsidRDefault="00D5672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i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color w:val="auto"/>
          <w:sz w:val="20"/>
          <w:szCs w:val="20"/>
        </w:rPr>
        <w:t>Titolare del trattamento</w:t>
      </w:r>
    </w:p>
    <w:p w:rsidR="00B71679" w:rsidRDefault="00D5672D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Titolare del trattamento è il Comune di Afragola, con sede in Afragola</w:t>
      </w:r>
      <w:r>
        <w:rPr>
          <w:rFonts w:cstheme="minorHAnsi"/>
          <w:b/>
          <w:i/>
          <w:sz w:val="20"/>
          <w:szCs w:val="20"/>
        </w:rPr>
        <w:t>, Piazza Municipio n. 1 – cap 80021,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tel.:, PEC: protocollo@pec.comune.afragola.na.it</w:t>
      </w:r>
    </w:p>
    <w:p w:rsidR="00B71679" w:rsidRDefault="00D5672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i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color w:val="auto"/>
          <w:sz w:val="20"/>
          <w:szCs w:val="20"/>
        </w:rPr>
        <w:t>Dati di contatto del Responsabile della protezione dei dati (RPD/DPO)</w:t>
      </w:r>
    </w:p>
    <w:p w:rsidR="00B71679" w:rsidRDefault="00D5672D">
      <w:pPr>
        <w:pStyle w:val="Default"/>
        <w:jc w:val="both"/>
        <w:rPr>
          <w:rStyle w:val="CollegamentoInternet"/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Il RPD/DPO designato dal </w:t>
      </w:r>
      <w:r>
        <w:rPr>
          <w:rFonts w:asciiTheme="minorHAnsi" w:hAnsiTheme="minorHAnsi" w:cstheme="minorHAnsi"/>
          <w:b/>
          <w:i/>
          <w:color w:val="auto"/>
          <w:sz w:val="20"/>
          <w:szCs w:val="20"/>
        </w:rPr>
        <w:t>Comune di Afragola</w:t>
      </w:r>
      <w:r>
        <w:rPr>
          <w:rFonts w:asciiTheme="minorHAnsi" w:hAnsiTheme="minorHAnsi" w:cstheme="minorHAnsi"/>
          <w:color w:val="auto"/>
          <w:sz w:val="20"/>
          <w:szCs w:val="20"/>
        </w:rPr>
        <w:t>, al quale Lei potrà rivolgersi,</w:t>
      </w:r>
      <w:r>
        <w:rPr>
          <w:rFonts w:asciiTheme="minorHAnsi" w:hAnsiTheme="minorHAnsi" w:cstheme="minorHAnsi"/>
          <w:color w:val="1C1C1C"/>
          <w:sz w:val="20"/>
          <w:szCs w:val="20"/>
        </w:rPr>
        <w:t xml:space="preserve"> è</w:t>
      </w:r>
      <w:r>
        <w:rPr>
          <w:rFonts w:asciiTheme="minorHAnsi" w:hAnsiTheme="minorHAnsi" w:cstheme="minorHAnsi"/>
          <w:b/>
          <w:color w:val="1C1C1C"/>
          <w:sz w:val="20"/>
          <w:szCs w:val="20"/>
        </w:rPr>
        <w:t>l</w:t>
      </w:r>
      <w:r>
        <w:rPr>
          <w:rFonts w:asciiTheme="minorHAnsi" w:hAnsiTheme="minorHAnsi" w:cstheme="minorHAnsi"/>
          <w:color w:val="1C1C1C"/>
          <w:sz w:val="20"/>
          <w:szCs w:val="20"/>
        </w:rPr>
        <w:t>a ditta Asmel Associazione cf. 03357090129 nella figura del</w:t>
      </w:r>
      <w:r>
        <w:rPr>
          <w:rFonts w:asciiTheme="minorHAnsi" w:hAnsiTheme="minorHAnsi" w:cstheme="minorHAnsi"/>
          <w:color w:val="1C1C1C"/>
          <w:sz w:val="20"/>
          <w:szCs w:val="20"/>
        </w:rPr>
        <w:t xml:space="preserve"> Dr. Salvatore Minucci , tel. 0817879717, email: </w:t>
      </w:r>
      <w:hyperlink r:id="rId8">
        <w:bookmarkStart w:id="1" w:name="cloakfea02253bcee6f2ae429ffa1f7a16b02"/>
        <w:bookmarkEnd w:id="1"/>
        <w:r>
          <w:rPr>
            <w:rStyle w:val="CollegamentoInternet"/>
            <w:rFonts w:asciiTheme="minorHAnsi" w:hAnsiTheme="minorHAnsi" w:cstheme="minorHAnsi"/>
            <w:color w:val="1C1C1C"/>
            <w:sz w:val="20"/>
            <w:szCs w:val="20"/>
            <w:u w:val="none"/>
          </w:rPr>
          <w:t>servizio.dpo@asmel.eu</w:t>
        </w:r>
      </w:hyperlink>
      <w:r>
        <w:rPr>
          <w:rFonts w:asciiTheme="minorHAnsi" w:hAnsiTheme="minorHAnsi" w:cstheme="minorHAnsi"/>
          <w:b/>
          <w:color w:val="1C1C1C"/>
          <w:sz w:val="20"/>
          <w:szCs w:val="20"/>
        </w:rPr>
        <w:t> </w:t>
      </w:r>
      <w:r>
        <w:rPr>
          <w:rFonts w:asciiTheme="minorHAnsi" w:hAnsiTheme="minorHAnsi" w:cstheme="minorHAnsi"/>
          <w:color w:val="1C1C1C"/>
          <w:sz w:val="20"/>
          <w:szCs w:val="20"/>
        </w:rPr>
        <w:t>, PEC: </w:t>
      </w:r>
      <w:hyperlink r:id="rId9">
        <w:bookmarkStart w:id="2" w:name="cloak30689db7acaab011d207e747a601c94f"/>
        <w:bookmarkEnd w:id="2"/>
        <w:r>
          <w:rPr>
            <w:rStyle w:val="CollegamentoInternet"/>
            <w:rFonts w:asciiTheme="minorHAnsi" w:hAnsiTheme="minorHAnsi" w:cstheme="minorHAnsi"/>
            <w:color w:val="1C1C1C"/>
            <w:sz w:val="20"/>
            <w:szCs w:val="20"/>
            <w:u w:val="none"/>
          </w:rPr>
          <w:t>asmel@asmelpec.it</w:t>
        </w:r>
      </w:hyperlink>
    </w:p>
    <w:p w:rsidR="00B71679" w:rsidRDefault="00B71679">
      <w:pPr>
        <w:pStyle w:val="Default"/>
        <w:jc w:val="both"/>
        <w:rPr>
          <w:rStyle w:val="CollegamentoInternet"/>
          <w:rFonts w:asciiTheme="minorHAnsi" w:eastAsia="Times New Roman" w:hAnsiTheme="minorHAnsi" w:cstheme="minorHAnsi"/>
          <w:sz w:val="20"/>
          <w:szCs w:val="20"/>
        </w:rPr>
      </w:pPr>
    </w:p>
    <w:p w:rsidR="00B71679" w:rsidRDefault="00D5672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i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color w:val="auto"/>
          <w:sz w:val="20"/>
          <w:szCs w:val="20"/>
        </w:rPr>
        <w:t xml:space="preserve">Tipologia dei dati raccolti </w:t>
      </w: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Nell’ambito della procedura per la conclusione di contratti di </w:t>
      </w:r>
      <w:r>
        <w:rPr>
          <w:rFonts w:cstheme="minorHAnsi"/>
          <w:bCs/>
          <w:sz w:val="20"/>
          <w:szCs w:val="20"/>
        </w:rPr>
        <w:t>servizi, forniture, lavori e opere,</w:t>
      </w:r>
      <w:r>
        <w:rPr>
          <w:rFonts w:cstheme="minorHAnsi"/>
          <w:sz w:val="20"/>
          <w:szCs w:val="20"/>
        </w:rPr>
        <w:t xml:space="preserve"> il </w:t>
      </w:r>
      <w:r>
        <w:rPr>
          <w:rFonts w:cstheme="minorHAnsi"/>
          <w:b/>
          <w:i/>
          <w:sz w:val="20"/>
          <w:szCs w:val="20"/>
        </w:rPr>
        <w:t xml:space="preserve">Comune di Afragola </w:t>
      </w:r>
      <w:r>
        <w:rPr>
          <w:rFonts w:cstheme="minorHAnsi"/>
          <w:sz w:val="20"/>
          <w:szCs w:val="20"/>
        </w:rPr>
        <w:t>tratta i dati personali presenti nella domanda di partecipazione o contenuti nei documenti acquisiti da altre pubbliche amministrazioni</w:t>
      </w:r>
      <w:r>
        <w:rPr>
          <w:rFonts w:cstheme="minorHAnsi"/>
          <w:sz w:val="20"/>
          <w:szCs w:val="20"/>
        </w:rPr>
        <w:t xml:space="preserve"> in ottemperanza agli adempimenti di Legge e, in particolare a titolo esemplificativo:</w:t>
      </w:r>
    </w:p>
    <w:p w:rsidR="00B71679" w:rsidRDefault="00B716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71679" w:rsidRDefault="00D5672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I </w:t>
      </w:r>
      <w:r>
        <w:rPr>
          <w:rFonts w:cstheme="minorHAnsi"/>
          <w:b/>
          <w:bCs/>
          <w:i/>
          <w:sz w:val="20"/>
          <w:szCs w:val="20"/>
        </w:rPr>
        <w:t>dati personali comuni</w:t>
      </w:r>
      <w:r>
        <w:rPr>
          <w:rFonts w:cstheme="minorHAnsi"/>
          <w:bCs/>
          <w:sz w:val="20"/>
          <w:szCs w:val="20"/>
        </w:rPr>
        <w:t xml:space="preserve"> (nome, cognome, luogo e data di nascita, residenza, codice fiscale, documento d’identità, dati di contatto, informazioni inerenti il nucleo fami</w:t>
      </w:r>
      <w:r>
        <w:rPr>
          <w:rFonts w:cstheme="minorHAnsi"/>
          <w:bCs/>
          <w:sz w:val="20"/>
          <w:szCs w:val="20"/>
        </w:rPr>
        <w:t>liare) e</w:t>
      </w:r>
      <w:r>
        <w:rPr>
          <w:rFonts w:cstheme="minorHAnsi"/>
          <w:b/>
          <w:bCs/>
          <w:i/>
          <w:sz w:val="20"/>
          <w:szCs w:val="20"/>
        </w:rPr>
        <w:t xml:space="preserve"> giudiziari </w:t>
      </w:r>
      <w:r>
        <w:rPr>
          <w:rFonts w:cstheme="minorHAnsi"/>
          <w:bCs/>
          <w:sz w:val="20"/>
          <w:szCs w:val="20"/>
        </w:rPr>
        <w:t xml:space="preserve">(eventuali condanne penali, iscrizione nel casellario giudiziale) </w:t>
      </w:r>
      <w:r>
        <w:rPr>
          <w:rFonts w:cstheme="minorHAnsi"/>
          <w:b/>
          <w:bCs/>
          <w:i/>
          <w:sz w:val="20"/>
          <w:szCs w:val="20"/>
        </w:rPr>
        <w:t>del Titolare dell’impresa partecipante o del/i soggetto/i munito/i dei poteri di rappresentanza, ivi compresi institori e procuratori generali</w:t>
      </w:r>
      <w:r>
        <w:rPr>
          <w:rFonts w:cstheme="minorHAnsi"/>
          <w:bCs/>
          <w:sz w:val="20"/>
          <w:szCs w:val="20"/>
        </w:rPr>
        <w:t>;</w:t>
      </w:r>
    </w:p>
    <w:p w:rsidR="00B71679" w:rsidRDefault="00B71679">
      <w:pPr>
        <w:pStyle w:val="Paragrafoelenco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B71679" w:rsidRDefault="00D5672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ove previsto dalla Legge,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i/>
          <w:sz w:val="20"/>
          <w:szCs w:val="20"/>
        </w:rPr>
        <w:t xml:space="preserve">i </w:t>
      </w:r>
      <w:r>
        <w:rPr>
          <w:rFonts w:cstheme="minorHAnsi"/>
          <w:b/>
          <w:bCs/>
          <w:i/>
          <w:sz w:val="20"/>
          <w:szCs w:val="20"/>
        </w:rPr>
        <w:t>dati personali comuni</w:t>
      </w:r>
      <w:r>
        <w:rPr>
          <w:rFonts w:cstheme="minorHAnsi"/>
          <w:bCs/>
          <w:sz w:val="20"/>
          <w:szCs w:val="20"/>
        </w:rPr>
        <w:t xml:space="preserve"> (nome, cognome, luogo e data di nascita, residenza, codice fiscale, documento d’identità) e</w:t>
      </w:r>
      <w:r>
        <w:rPr>
          <w:rFonts w:cstheme="minorHAnsi"/>
          <w:b/>
          <w:bCs/>
          <w:i/>
          <w:sz w:val="20"/>
          <w:szCs w:val="20"/>
        </w:rPr>
        <w:t xml:space="preserve"> giudiziari dei soci e del direttore tecnico dell’impresa partecipante </w:t>
      </w:r>
      <w:r>
        <w:rPr>
          <w:rFonts w:cstheme="minorHAnsi"/>
          <w:bCs/>
          <w:sz w:val="20"/>
          <w:szCs w:val="20"/>
        </w:rPr>
        <w:t>(eventuali condanne penali, iscrizione nel casellario giudiziale);</w:t>
      </w:r>
    </w:p>
    <w:p w:rsidR="00B71679" w:rsidRDefault="00B7167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B71679" w:rsidRDefault="00D5672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i</w:t>
      </w:r>
      <w:r>
        <w:rPr>
          <w:rFonts w:cstheme="minorHAnsi"/>
          <w:b/>
          <w:i/>
          <w:sz w:val="20"/>
          <w:szCs w:val="20"/>
        </w:rPr>
        <w:t xml:space="preserve"> </w:t>
      </w:r>
      <w:r>
        <w:rPr>
          <w:rFonts w:cstheme="minorHAnsi"/>
          <w:b/>
          <w:bCs/>
          <w:i/>
          <w:sz w:val="20"/>
          <w:szCs w:val="20"/>
        </w:rPr>
        <w:t>dati personali comuni</w:t>
      </w:r>
      <w:r>
        <w:rPr>
          <w:rFonts w:cstheme="minorHAnsi"/>
          <w:bCs/>
          <w:sz w:val="20"/>
          <w:szCs w:val="20"/>
        </w:rPr>
        <w:t xml:space="preserve"> (nome, cognome, luogo e data di nascita, residenza, codice fiscale, documento d’identità) e</w:t>
      </w:r>
      <w:r>
        <w:rPr>
          <w:rFonts w:cstheme="minorHAnsi"/>
          <w:b/>
          <w:bCs/>
          <w:i/>
          <w:sz w:val="20"/>
          <w:szCs w:val="20"/>
        </w:rPr>
        <w:t xml:space="preserve"> giudiziari dei soggetti cessati dalla carica nell’anno antecedente la pubblicazione del bando </w:t>
      </w:r>
      <w:r>
        <w:rPr>
          <w:rFonts w:cstheme="minorHAnsi"/>
          <w:bCs/>
          <w:sz w:val="20"/>
          <w:szCs w:val="20"/>
        </w:rPr>
        <w:t>(eventuali condanne penali, iscrizione nel case</w:t>
      </w:r>
      <w:r>
        <w:rPr>
          <w:rFonts w:cstheme="minorHAnsi"/>
          <w:bCs/>
          <w:sz w:val="20"/>
          <w:szCs w:val="20"/>
        </w:rPr>
        <w:t>llario giudiziale).</w:t>
      </w:r>
    </w:p>
    <w:p w:rsidR="00B71679" w:rsidRDefault="00B71679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</w:pP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Theme="minorEastAsia" w:cstheme="minorHAnsi"/>
          <w:b/>
          <w:bCs/>
          <w:i/>
          <w:sz w:val="20"/>
          <w:szCs w:val="20"/>
          <w:lang w:eastAsia="it-IT"/>
        </w:rPr>
      </w:pPr>
      <w:r>
        <w:rPr>
          <w:rFonts w:eastAsiaTheme="minorEastAsia" w:cstheme="minorHAnsi"/>
          <w:b/>
          <w:bCs/>
          <w:i/>
          <w:sz w:val="20"/>
          <w:szCs w:val="20"/>
          <w:lang w:eastAsia="it-IT"/>
        </w:rPr>
        <w:t>Finalità del trattamento</w:t>
      </w: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trattamento dei dati personali forniti è finalizzato alla gestione della procedura (ivi compresa la pubblicazione della graduatoria e dei verbali di gara) e, pertanto, a:</w:t>
      </w:r>
    </w:p>
    <w:p w:rsidR="00B71679" w:rsidRDefault="00D5672D">
      <w:pPr>
        <w:pStyle w:val="Paragrafoelenco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valutare i requisiti di </w:t>
      </w:r>
      <w:r>
        <w:rPr>
          <w:rFonts w:cstheme="minorHAnsi"/>
          <w:sz w:val="20"/>
          <w:szCs w:val="20"/>
        </w:rPr>
        <w:t>ammissibilità alla procedura con riferimento alla situazione giuridica, alla capacità economica, finanziaria e tecnica dell’impresa e agli ulteriori adempimenti richiesti dalla normativa applicabile in materia di settore;</w:t>
      </w:r>
    </w:p>
    <w:p w:rsidR="00B71679" w:rsidRDefault="00D5672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verificare l’assenza di cause osta</w:t>
      </w:r>
      <w:r>
        <w:rPr>
          <w:rFonts w:cstheme="minorHAnsi"/>
          <w:sz w:val="20"/>
          <w:szCs w:val="20"/>
        </w:rPr>
        <w:t>tive alla partecipazione;</w:t>
      </w:r>
    </w:p>
    <w:p w:rsidR="00B71679" w:rsidRDefault="00D5672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consentire all’impresa di prendere parte alle varie fasi dell’iter di selezione. </w:t>
      </w:r>
    </w:p>
    <w:p w:rsidR="00B71679" w:rsidRDefault="00B71679">
      <w:pPr>
        <w:pStyle w:val="Paragrafoelenco"/>
        <w:shd w:val="clear" w:color="auto" w:fill="FFFFFF"/>
        <w:spacing w:after="240" w:line="240" w:lineRule="auto"/>
        <w:jc w:val="both"/>
        <w:rPr>
          <w:rFonts w:cstheme="minorHAnsi"/>
          <w:sz w:val="20"/>
          <w:szCs w:val="20"/>
          <w:highlight w:val="yellow"/>
        </w:rPr>
      </w:pP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Base giuridica del trattamento </w:t>
      </w: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basi giuridiche che giustificano il trattamento sono:</w:t>
      </w:r>
    </w:p>
    <w:p w:rsidR="00B71679" w:rsidRDefault="00D567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art. 6, par. 1, lett. c) </w:t>
      </w:r>
      <w:r>
        <w:rPr>
          <w:rFonts w:cstheme="minorHAnsi"/>
          <w:b/>
          <w:sz w:val="20"/>
          <w:szCs w:val="20"/>
        </w:rPr>
        <w:t>GDPR</w:t>
      </w:r>
      <w:r>
        <w:rPr>
          <w:rFonts w:cstheme="minorHAnsi"/>
          <w:sz w:val="20"/>
          <w:szCs w:val="20"/>
        </w:rPr>
        <w:t xml:space="preserve">, adempimento di un obbligo </w:t>
      </w:r>
      <w:r>
        <w:rPr>
          <w:rFonts w:cstheme="minorHAnsi"/>
          <w:sz w:val="20"/>
          <w:szCs w:val="20"/>
        </w:rPr>
        <w:t>legale al quale è soggetto il Titolare del trattamento;</w:t>
      </w:r>
    </w:p>
    <w:p w:rsidR="00B71679" w:rsidRDefault="00D567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art.6, par. 1 lett. e)</w:t>
      </w:r>
      <w:r>
        <w:rPr>
          <w:rFonts w:cstheme="minorHAnsi"/>
          <w:b/>
          <w:sz w:val="20"/>
          <w:szCs w:val="20"/>
        </w:rPr>
        <w:t xml:space="preserve"> GDPR</w:t>
      </w:r>
      <w:r>
        <w:rPr>
          <w:rFonts w:cstheme="minorHAnsi"/>
          <w:sz w:val="20"/>
          <w:szCs w:val="20"/>
        </w:rPr>
        <w:t>, esecuzione di un compito di interesse pubblico o connesso all’esercizio di pubblici poteri di cui è investito il Titolare del trattamento;</w:t>
      </w:r>
    </w:p>
    <w:p w:rsidR="00B71679" w:rsidRDefault="00D567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art. 9, par. 1, lett. g)</w:t>
      </w:r>
      <w:r>
        <w:rPr>
          <w:rFonts w:cstheme="minorHAnsi"/>
          <w:b/>
          <w:sz w:val="20"/>
          <w:szCs w:val="20"/>
        </w:rPr>
        <w:t xml:space="preserve"> GDPR</w:t>
      </w:r>
      <w:r>
        <w:rPr>
          <w:rFonts w:cstheme="minorHAnsi"/>
          <w:sz w:val="20"/>
          <w:szCs w:val="20"/>
        </w:rPr>
        <w:t>, s</w:t>
      </w:r>
      <w:r>
        <w:rPr>
          <w:rFonts w:cstheme="minorHAnsi"/>
          <w:sz w:val="20"/>
          <w:szCs w:val="20"/>
        </w:rPr>
        <w:t>ussistenza di motivi di interesse pubblico rilevante […];</w:t>
      </w:r>
    </w:p>
    <w:p w:rsidR="00B71679" w:rsidRDefault="00B71679">
      <w:pPr>
        <w:pStyle w:val="Paragrafoelenco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Modalità di trattamento </w:t>
      </w:r>
    </w:p>
    <w:p w:rsidR="00B71679" w:rsidRDefault="00D5672D">
      <w:pPr>
        <w:pStyle w:val="Corpodeltesto"/>
        <w:spacing w:before="12"/>
        <w:ind w:left="0" w:right="112"/>
        <w:rPr>
          <w:rFonts w:asciiTheme="minorHAnsi" w:eastAsiaTheme="minorHAnsi" w:hAnsiTheme="minorHAnsi" w:cstheme="minorHAnsi"/>
          <w:sz w:val="20"/>
          <w:szCs w:val="20"/>
          <w:highlight w:val="yellow"/>
          <w:lang w:val="it-IT"/>
        </w:rPr>
      </w:pPr>
      <w:r>
        <w:rPr>
          <w:rFonts w:asciiTheme="minorHAnsi" w:eastAsiaTheme="minorHAnsi" w:hAnsiTheme="minorHAnsi" w:cstheme="minorHAnsi"/>
          <w:sz w:val="20"/>
          <w:szCs w:val="20"/>
          <w:lang w:val="it-IT"/>
        </w:rPr>
        <w:t>I dati personali sono trattati per le finalità esposte, secondo i principi di liceità, correttezza, trasparenza, limitazione delle finalità, minimizzazione ed esattezza dei</w:t>
      </w:r>
      <w:r>
        <w:rPr>
          <w:rFonts w:asciiTheme="minorHAnsi" w:eastAsiaTheme="minorHAnsi" w:hAnsiTheme="minorHAnsi" w:cstheme="minorHAnsi"/>
          <w:sz w:val="20"/>
          <w:szCs w:val="20"/>
          <w:lang w:val="it-IT"/>
        </w:rPr>
        <w:t xml:space="preserve"> dati di cui all’art 5 del GDPR in forma cartacea ed automatizzata. La disponibilità, la gestione, l’accesso, la conservazione e la fruibilità dei dati è garantita dall’adozione di misure </w:t>
      </w:r>
      <w:r>
        <w:rPr>
          <w:rFonts w:asciiTheme="minorHAnsi" w:eastAsiaTheme="minorHAnsi" w:hAnsiTheme="minorHAnsi" w:cstheme="minorHAnsi"/>
          <w:sz w:val="20"/>
          <w:szCs w:val="20"/>
          <w:lang w:val="it-IT"/>
        </w:rPr>
        <w:lastRenderedPageBreak/>
        <w:t>tecniche ed organizzative per assicurare adeguati livelli di sicurez</w:t>
      </w:r>
      <w:r>
        <w:rPr>
          <w:rFonts w:asciiTheme="minorHAnsi" w:eastAsiaTheme="minorHAnsi" w:hAnsiTheme="minorHAnsi" w:cstheme="minorHAnsi"/>
          <w:sz w:val="20"/>
          <w:szCs w:val="20"/>
          <w:lang w:val="it-IT"/>
        </w:rPr>
        <w:t>za ai sensi degli artt. 25 e 32 del GDPR.</w:t>
      </w:r>
    </w:p>
    <w:p w:rsidR="00B71679" w:rsidRDefault="00B71679">
      <w:pPr>
        <w:pStyle w:val="Paragrafoelenco"/>
        <w:spacing w:after="0" w:line="240" w:lineRule="auto"/>
        <w:jc w:val="both"/>
        <w:rPr>
          <w:rFonts w:cstheme="minorHAnsi"/>
          <w:b/>
          <w:i/>
          <w:sz w:val="20"/>
          <w:szCs w:val="20"/>
          <w:highlight w:val="yellow"/>
        </w:rPr>
      </w:pPr>
    </w:p>
    <w:p w:rsidR="00B71679" w:rsidRDefault="00B71679">
      <w:pPr>
        <w:pStyle w:val="Paragrafoelenco"/>
        <w:spacing w:after="0" w:line="240" w:lineRule="auto"/>
        <w:jc w:val="both"/>
        <w:rPr>
          <w:rFonts w:cstheme="minorHAnsi"/>
          <w:b/>
          <w:i/>
          <w:sz w:val="20"/>
          <w:szCs w:val="20"/>
          <w:highlight w:val="yellow"/>
        </w:rPr>
      </w:pP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Natura del conferimento dei dati </w:t>
      </w: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conferimento dei dati personali per le finalità esposte risulta necessario. La mancata comunicazione degli stessi pregiudica, pertanto, la partecipazione dell’operatore economico alla procedura di selezione e l’ammissione dello stesso alle successive fa</w:t>
      </w:r>
      <w:r>
        <w:rPr>
          <w:rFonts w:cstheme="minorHAnsi"/>
          <w:sz w:val="20"/>
          <w:szCs w:val="20"/>
        </w:rPr>
        <w:t xml:space="preserve">si. </w:t>
      </w:r>
    </w:p>
    <w:p w:rsidR="00B71679" w:rsidRDefault="00B71679">
      <w:pPr>
        <w:pStyle w:val="Paragrafoelenco"/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Theme="minorEastAsia" w:cstheme="minorHAnsi"/>
          <w:b/>
          <w:bCs/>
          <w:i/>
          <w:sz w:val="20"/>
          <w:szCs w:val="20"/>
          <w:lang w:eastAsia="it-IT"/>
        </w:rPr>
      </w:pPr>
      <w:r>
        <w:rPr>
          <w:rFonts w:cstheme="minorHAnsi"/>
          <w:b/>
          <w:i/>
          <w:sz w:val="20"/>
          <w:szCs w:val="20"/>
        </w:rPr>
        <w:t>Destinatari o categorie di destinatari dei dati personali</w:t>
      </w: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dati personali sono utilizzati e comunicati in modo adeguato e corretto a soggetti destinatari interni e/o esterni all’organizzazione del Titolare. A tal fine, nello svolgimento della propri</w:t>
      </w:r>
      <w:r>
        <w:rPr>
          <w:rFonts w:cstheme="minorHAnsi"/>
          <w:sz w:val="20"/>
          <w:szCs w:val="20"/>
        </w:rPr>
        <w:t>a attività e per il perseguimento delle finalità previste, il Titolare potrebbe comunicare i dati personali a:</w:t>
      </w:r>
    </w:p>
    <w:p w:rsidR="00B71679" w:rsidRDefault="00D5672D">
      <w:pPr>
        <w:widowControl w:val="0"/>
        <w:numPr>
          <w:ilvl w:val="0"/>
          <w:numId w:val="1"/>
        </w:numPr>
        <w:spacing w:after="0" w:line="240" w:lineRule="auto"/>
        <w:ind w:right="-1"/>
        <w:jc w:val="both"/>
        <w:rPr>
          <w:rFonts w:eastAsia="Trebuchet MS" w:cstheme="minorHAnsi"/>
          <w:sz w:val="20"/>
          <w:szCs w:val="20"/>
        </w:rPr>
      </w:pPr>
      <w:r>
        <w:rPr>
          <w:rFonts w:eastAsia="Trebuchet MS" w:cstheme="minorHAnsi"/>
          <w:sz w:val="20"/>
          <w:szCs w:val="20"/>
        </w:rPr>
        <w:t>personale debitamente istruito ed autorizzato dal Titolare che agisce sotto l’autorità del medesimo e nel rispetto del segreto d’ufficio;</w:t>
      </w:r>
    </w:p>
    <w:p w:rsidR="00B71679" w:rsidRDefault="00D5672D">
      <w:pPr>
        <w:widowControl w:val="0"/>
        <w:numPr>
          <w:ilvl w:val="0"/>
          <w:numId w:val="1"/>
        </w:numPr>
        <w:spacing w:after="0" w:line="240" w:lineRule="auto"/>
        <w:ind w:right="-1"/>
        <w:jc w:val="both"/>
        <w:rPr>
          <w:rFonts w:eastAsia="Trebuchet MS" w:cstheme="minorHAnsi"/>
          <w:sz w:val="20"/>
          <w:szCs w:val="20"/>
        </w:rPr>
      </w:pPr>
      <w:r>
        <w:rPr>
          <w:rFonts w:eastAsia="Trebuchet MS" w:cstheme="minorHAnsi"/>
          <w:sz w:val="20"/>
          <w:szCs w:val="20"/>
        </w:rPr>
        <w:t>persone</w:t>
      </w:r>
      <w:r>
        <w:rPr>
          <w:rFonts w:eastAsia="Trebuchet MS" w:cstheme="minorHAnsi"/>
          <w:sz w:val="20"/>
          <w:szCs w:val="20"/>
        </w:rPr>
        <w:t xml:space="preserve"> fisiche e/o giuridiche, quali Responsabili al trattamento di dati personali </w:t>
      </w:r>
      <w:r>
        <w:rPr>
          <w:rFonts w:eastAsia="Trebuchet MS" w:cstheme="minorHAnsi"/>
          <w:i/>
          <w:sz w:val="20"/>
          <w:szCs w:val="20"/>
        </w:rPr>
        <w:t>ex</w:t>
      </w:r>
      <w:r>
        <w:rPr>
          <w:rFonts w:eastAsia="Trebuchet MS" w:cstheme="minorHAnsi"/>
          <w:sz w:val="20"/>
          <w:szCs w:val="20"/>
        </w:rPr>
        <w:t xml:space="preserve"> artt. 28 e 29 GDPR che trattano dati per conto del Titolare, in rapporto contrattuale o convenzionale con il medesimo idoneamente designati e selezionati, altresì, per le garan</w:t>
      </w:r>
      <w:r>
        <w:rPr>
          <w:rFonts w:eastAsia="Trebuchet MS" w:cstheme="minorHAnsi"/>
          <w:sz w:val="20"/>
          <w:szCs w:val="20"/>
        </w:rPr>
        <w:t>zie prestate in materia di protezione dei dati personali, ciascuno nei limiti della propria professione e delle funzioni assegnate;</w:t>
      </w:r>
    </w:p>
    <w:p w:rsidR="00B71679" w:rsidRDefault="00D5672D">
      <w:pPr>
        <w:pStyle w:val="Corpodeltesto"/>
        <w:numPr>
          <w:ilvl w:val="0"/>
          <w:numId w:val="1"/>
        </w:numPr>
        <w:spacing w:before="12" w:line="204" w:lineRule="auto"/>
        <w:ind w:right="-1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organismi di controllo, organi della pubblica amministrazione ed enti o autorità che agiscono nella loro qualità di Titolari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autonomi del trattamento, a cui sia obbligatorio comunicare i dati personali in forza di disposizioni di Legge o di ordini delle autorità (componenti della commissione esaminatrice);</w:t>
      </w:r>
    </w:p>
    <w:p w:rsidR="00B71679" w:rsidRDefault="00D5672D">
      <w:pPr>
        <w:widowControl w:val="0"/>
        <w:numPr>
          <w:ilvl w:val="0"/>
          <w:numId w:val="1"/>
        </w:numPr>
        <w:spacing w:after="0" w:line="240" w:lineRule="auto"/>
        <w:ind w:right="-1"/>
        <w:jc w:val="both"/>
        <w:rPr>
          <w:rFonts w:eastAsia="Trebuchet MS" w:cstheme="minorHAnsi"/>
          <w:sz w:val="20"/>
          <w:szCs w:val="20"/>
        </w:rPr>
      </w:pPr>
      <w:r>
        <w:rPr>
          <w:rFonts w:eastAsia="Trebuchet MS" w:cstheme="minorHAnsi"/>
          <w:sz w:val="20"/>
          <w:szCs w:val="20"/>
        </w:rPr>
        <w:t xml:space="preserve">altre autorità pubbliche nel rispetto del Diritto dell’unione e/o dello </w:t>
      </w:r>
      <w:r>
        <w:rPr>
          <w:rFonts w:eastAsia="Trebuchet MS" w:cstheme="minorHAnsi"/>
          <w:sz w:val="20"/>
          <w:szCs w:val="20"/>
        </w:rPr>
        <w:t xml:space="preserve">Stato membro; </w:t>
      </w:r>
    </w:p>
    <w:p w:rsidR="00B71679" w:rsidRDefault="00D5672D">
      <w:pPr>
        <w:widowControl w:val="0"/>
        <w:numPr>
          <w:ilvl w:val="0"/>
          <w:numId w:val="1"/>
        </w:numPr>
        <w:spacing w:after="0" w:line="240" w:lineRule="auto"/>
        <w:ind w:right="-1"/>
        <w:jc w:val="both"/>
        <w:rPr>
          <w:rFonts w:eastAsia="Trebuchet MS" w:cstheme="minorHAnsi"/>
          <w:sz w:val="20"/>
          <w:szCs w:val="20"/>
        </w:rPr>
      </w:pPr>
      <w:r>
        <w:rPr>
          <w:rFonts w:eastAsia="Trebuchet MS" w:cstheme="minorHAnsi"/>
          <w:sz w:val="20"/>
          <w:szCs w:val="20"/>
        </w:rPr>
        <w:t xml:space="preserve">autorità di pubblica sicurezza e autorità giudiziaria, nei limiti necessari per svolgere il loro compito istituzionale e/o di interesse pubblico (le suddette autorità nell’ambito di specifica indagine, conformemente al diritto dell’Unione o </w:t>
      </w:r>
      <w:r>
        <w:rPr>
          <w:rFonts w:eastAsia="Trebuchet MS" w:cstheme="minorHAnsi"/>
          <w:sz w:val="20"/>
          <w:szCs w:val="20"/>
        </w:rPr>
        <w:t>degli stati membri non sono considerate destinatarie).</w:t>
      </w: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dati personali non sono soggetti a diffusione (intendendosi come tale il darne conoscenza in qualunque modo ad una pluralità di soggetti indeterminati), fatta salva la pubblicazione on-line nella sez</w:t>
      </w:r>
      <w:r>
        <w:rPr>
          <w:rFonts w:cstheme="minorHAnsi"/>
          <w:sz w:val="20"/>
          <w:szCs w:val="20"/>
        </w:rPr>
        <w:t>ione “</w:t>
      </w:r>
      <w:r>
        <w:rPr>
          <w:rFonts w:cstheme="minorHAnsi"/>
          <w:i/>
          <w:sz w:val="20"/>
          <w:szCs w:val="20"/>
        </w:rPr>
        <w:t>Amministrazione Trasparente</w:t>
      </w:r>
      <w:r>
        <w:rPr>
          <w:rFonts w:cstheme="minorHAnsi"/>
          <w:sz w:val="20"/>
          <w:szCs w:val="20"/>
        </w:rPr>
        <w:t>”, prevista dalla normativa in materia di trasparenza amministrativa, mediante attuazione di adeguate misure di sicurezza.</w:t>
      </w: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Trasferimento dei dati personali </w:t>
      </w:r>
    </w:p>
    <w:p w:rsidR="00B71679" w:rsidRDefault="00D5672D">
      <w:pPr>
        <w:widowControl w:val="0"/>
        <w:spacing w:after="0" w:line="240" w:lineRule="auto"/>
        <w:ind w:right="-143"/>
        <w:jc w:val="both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I dati personali non saranno trasferiti in paesi extra–UE. Tuttavi</w:t>
      </w:r>
      <w:r>
        <w:rPr>
          <w:rFonts w:eastAsia="Calibri" w:cstheme="minorHAnsi"/>
          <w:color w:val="000000"/>
          <w:sz w:val="20"/>
          <w:szCs w:val="20"/>
        </w:rPr>
        <w:t>a, in caso di un eventuale futuro trasferimento dei Dati verso Paesi Terzi, il trattamento avverrà nel rispetto della normativa, ovvero, secondo una delle modalità consentite dalla Legge vigente, quali:</w:t>
      </w:r>
    </w:p>
    <w:p w:rsidR="00B71679" w:rsidRDefault="00D5672D">
      <w:pPr>
        <w:keepNext/>
        <w:widowControl w:val="0"/>
        <w:numPr>
          <w:ilvl w:val="0"/>
          <w:numId w:val="6"/>
        </w:numPr>
        <w:spacing w:after="0" w:line="240" w:lineRule="auto"/>
        <w:ind w:right="-143"/>
        <w:jc w:val="both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trasferimento verso Paesi che offrono garanzie di pro</w:t>
      </w:r>
      <w:r>
        <w:rPr>
          <w:rFonts w:eastAsia="Calibri" w:cstheme="minorHAnsi"/>
          <w:color w:val="000000"/>
          <w:sz w:val="20"/>
          <w:szCs w:val="20"/>
        </w:rPr>
        <w:t>tezione adeguate;</w:t>
      </w:r>
    </w:p>
    <w:p w:rsidR="00B71679" w:rsidRDefault="00D5672D">
      <w:pPr>
        <w:keepNext/>
        <w:widowControl w:val="0"/>
        <w:tabs>
          <w:tab w:val="left" w:pos="3828"/>
        </w:tabs>
        <w:spacing w:after="0" w:line="240" w:lineRule="auto"/>
        <w:ind w:left="720" w:right="-143"/>
        <w:jc w:val="both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 xml:space="preserve">adozione di </w:t>
      </w:r>
      <w:hyperlink r:id="rId10">
        <w:r>
          <w:rPr>
            <w:rStyle w:val="CollegamentoInternet"/>
            <w:rFonts w:eastAsia="Calibri" w:cstheme="minorHAnsi"/>
            <w:color w:val="000000"/>
            <w:sz w:val="20"/>
            <w:szCs w:val="20"/>
          </w:rPr>
          <w:t>Clausole contrattuali Standard approvate dalla Commissione Europea</w:t>
        </w:r>
      </w:hyperlink>
      <w:r>
        <w:rPr>
          <w:rFonts w:eastAsia="Calibri" w:cstheme="minorHAnsi"/>
          <w:color w:val="000000"/>
          <w:sz w:val="20"/>
          <w:szCs w:val="20"/>
        </w:rPr>
        <w:t>;</w:t>
      </w:r>
    </w:p>
    <w:p w:rsidR="00B71679" w:rsidRDefault="00D5672D">
      <w:pPr>
        <w:keepNext/>
        <w:widowControl w:val="0"/>
        <w:numPr>
          <w:ilvl w:val="0"/>
          <w:numId w:val="6"/>
        </w:numPr>
        <w:spacing w:after="0" w:line="240" w:lineRule="auto"/>
        <w:ind w:right="-143"/>
        <w:jc w:val="both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 xml:space="preserve">adozione di Norme vincolanti d’impresa autorizzate dall’Autorità </w:t>
      </w:r>
      <w:r>
        <w:rPr>
          <w:rFonts w:eastAsia="Calibri" w:cstheme="minorHAnsi"/>
          <w:color w:val="000000"/>
          <w:sz w:val="20"/>
          <w:szCs w:val="20"/>
        </w:rPr>
        <w:t>Garante;</w:t>
      </w:r>
    </w:p>
    <w:p w:rsidR="00B71679" w:rsidRDefault="00D5672D">
      <w:pPr>
        <w:keepNext/>
        <w:widowControl w:val="0"/>
        <w:numPr>
          <w:ilvl w:val="0"/>
          <w:numId w:val="6"/>
        </w:numPr>
        <w:spacing w:after="0" w:line="240" w:lineRule="auto"/>
        <w:ind w:right="-143"/>
        <w:jc w:val="both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 xml:space="preserve">selezione di soggetti aderenti a programmi internazionali per la libera circolazione dei dati. </w:t>
      </w:r>
    </w:p>
    <w:p w:rsidR="00B71679" w:rsidRDefault="00D5672D">
      <w:pPr>
        <w:spacing w:after="0" w:line="240" w:lineRule="auto"/>
        <w:ind w:right="-143"/>
        <w:jc w:val="both"/>
        <w:rPr>
          <w:rFonts w:eastAsia="Trebuchet MS" w:cstheme="minorHAnsi"/>
          <w:color w:val="000000"/>
          <w:sz w:val="20"/>
          <w:szCs w:val="20"/>
        </w:rPr>
      </w:pPr>
      <w:r>
        <w:rPr>
          <w:rFonts w:eastAsia="Trebuchet MS" w:cstheme="minorHAnsi"/>
          <w:color w:val="000000"/>
          <w:sz w:val="20"/>
          <w:szCs w:val="20"/>
        </w:rPr>
        <w:t xml:space="preserve">In deroga alle modalità suddette, il trasferimento potrà essere ammesso alle condizioni disciplinate all’art.49 del GDPR, quali ad esempio l’esplicito </w:t>
      </w:r>
      <w:r>
        <w:rPr>
          <w:rFonts w:eastAsia="Trebuchet MS" w:cstheme="minorHAnsi"/>
          <w:color w:val="000000"/>
          <w:sz w:val="20"/>
          <w:szCs w:val="20"/>
        </w:rPr>
        <w:t>consenso espresso dall’interessato, l’esecuzione di un contratto concluso tra l’interessato e il Titolare, etc.</w:t>
      </w: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Periodo di conservazione dei dati</w:t>
      </w:r>
    </w:p>
    <w:p w:rsidR="00B71679" w:rsidRDefault="00D5672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dati personali sono conservati per il tempo necessario al conseguimento delle finalità perseguite o per qualsiasi altra legittima finalità collegata, nel rispetto del principio di limitazione della conservazione di cui all’art. 5 del GDPR, comma 1, lett.</w:t>
      </w:r>
      <w:r>
        <w:rPr>
          <w:rFonts w:cstheme="minorHAnsi"/>
          <w:sz w:val="20"/>
          <w:szCs w:val="20"/>
        </w:rPr>
        <w:t xml:space="preserve"> e), nonché degli obblighi di Legge cui è tenuto il Titolare. </w:t>
      </w:r>
    </w:p>
    <w:p w:rsidR="00B71679" w:rsidRDefault="00B71679">
      <w:pPr>
        <w:pStyle w:val="Paragrafoelenco"/>
        <w:spacing w:after="0" w:line="240" w:lineRule="auto"/>
        <w:jc w:val="both"/>
        <w:rPr>
          <w:rFonts w:cstheme="minorHAnsi"/>
          <w:b/>
          <w:i/>
          <w:sz w:val="20"/>
          <w:szCs w:val="20"/>
          <w:highlight w:val="yellow"/>
        </w:rPr>
      </w:pP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Diritti dell’interessato</w:t>
      </w:r>
    </w:p>
    <w:p w:rsidR="00B71679" w:rsidRDefault="00D5672D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In merito al trattamento dei Suoi dati personali Lei, in qualità di Interessato, può esercitare, laddove applicabili e tecnicamente possibili, i diritti previsti dagli</w:t>
      </w:r>
      <w:r>
        <w:rPr>
          <w:rFonts w:eastAsia="Times New Roman" w:cstheme="minorHAnsi"/>
          <w:sz w:val="20"/>
          <w:szCs w:val="20"/>
        </w:rPr>
        <w:t xml:space="preserve"> artt. 15-21 dal Reg. (UE) n. 679/2016, quali quelli di accesso, di opposizione, rettifica.</w:t>
      </w:r>
    </w:p>
    <w:p w:rsidR="00B71679" w:rsidRDefault="00D5672D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richieste vanno rivolte per iscritto al Titolare ovvero al RPD/DPO ai recapiti indicati specificando l’oggetto della richiesta, il diritto che si intende esercit</w:t>
      </w:r>
      <w:r>
        <w:rPr>
          <w:rFonts w:eastAsia="Times New Roman" w:cstheme="minorHAnsi"/>
          <w:sz w:val="20"/>
          <w:szCs w:val="20"/>
        </w:rPr>
        <w:t>are e allegando il documento di riconoscimento che attesti la legittimità della richiesta.</w:t>
      </w:r>
    </w:p>
    <w:p w:rsidR="00B71679" w:rsidRDefault="00B71679">
      <w:pPr>
        <w:spacing w:after="0" w:line="240" w:lineRule="auto"/>
        <w:ind w:left="360"/>
        <w:jc w:val="both"/>
        <w:rPr>
          <w:rFonts w:cstheme="minorHAnsi"/>
          <w:sz w:val="20"/>
          <w:szCs w:val="20"/>
          <w:highlight w:val="yellow"/>
        </w:rPr>
      </w:pPr>
    </w:p>
    <w:p w:rsidR="00B71679" w:rsidRDefault="00D567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bCs/>
          <w:i/>
          <w:sz w:val="20"/>
          <w:szCs w:val="20"/>
        </w:rPr>
        <w:t xml:space="preserve">Proposizione di reclamo </w:t>
      </w:r>
      <w:r>
        <w:rPr>
          <w:rFonts w:cstheme="minorHAnsi"/>
          <w:b/>
          <w:i/>
          <w:sz w:val="20"/>
          <w:szCs w:val="20"/>
        </w:rPr>
        <w:t xml:space="preserve">e segnalazione al Garante </w:t>
      </w:r>
    </w:p>
    <w:p w:rsidR="00B71679" w:rsidRDefault="00D5672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L’interessato, ricorrendone i presupposti ha, altresì, il diritto di:</w:t>
      </w:r>
    </w:p>
    <w:p w:rsidR="00B71679" w:rsidRDefault="00D5672D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proporre </w:t>
      </w:r>
      <w:r>
        <w:rPr>
          <w:rFonts w:cstheme="minorHAnsi"/>
          <w:b/>
          <w:i/>
          <w:sz w:val="20"/>
          <w:szCs w:val="20"/>
        </w:rPr>
        <w:t>reclamo</w:t>
      </w:r>
      <w:r>
        <w:rPr>
          <w:rFonts w:cstheme="minorHAnsi"/>
          <w:sz w:val="20"/>
          <w:szCs w:val="20"/>
        </w:rPr>
        <w:t xml:space="preserve"> all’Autorità di controllo </w:t>
      </w:r>
      <w:r>
        <w:rPr>
          <w:rFonts w:cstheme="minorHAnsi"/>
          <w:sz w:val="20"/>
          <w:szCs w:val="20"/>
        </w:rPr>
        <w:t>dello stato di residenza (</w:t>
      </w:r>
      <w:r>
        <w:rPr>
          <w:rFonts w:cstheme="minorHAnsi"/>
          <w:i/>
          <w:sz w:val="20"/>
          <w:szCs w:val="20"/>
        </w:rPr>
        <w:t>ex</w:t>
      </w:r>
      <w:r>
        <w:rPr>
          <w:rFonts w:cstheme="minorHAnsi"/>
          <w:sz w:val="20"/>
          <w:szCs w:val="20"/>
        </w:rPr>
        <w:t xml:space="preserve"> art. 77 Reg. n. 679/2016), secondo le procedure previste dall’art. 142 del D.lgs. n. 196/2003, emendato dal D.lgs. n. 101/2018</w:t>
      </w:r>
      <w:r>
        <w:rPr>
          <w:rFonts w:eastAsia="Times New Roman" w:cstheme="minorHAnsi"/>
          <w:sz w:val="20"/>
          <w:szCs w:val="20"/>
        </w:rPr>
        <w:t>;</w:t>
      </w:r>
    </w:p>
    <w:p w:rsidR="00B71679" w:rsidRDefault="00D5672D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rivolgere una </w:t>
      </w:r>
      <w:r>
        <w:rPr>
          <w:rFonts w:eastAsia="Times New Roman" w:cstheme="minorHAnsi"/>
          <w:b/>
          <w:i/>
          <w:sz w:val="20"/>
          <w:szCs w:val="20"/>
        </w:rPr>
        <w:t xml:space="preserve">segnalazione </w:t>
      </w:r>
      <w:r>
        <w:rPr>
          <w:rFonts w:cstheme="minorHAnsi"/>
          <w:sz w:val="20"/>
          <w:szCs w:val="20"/>
        </w:rPr>
        <w:t xml:space="preserve">all’Autorità di controllo </w:t>
      </w:r>
      <w:r>
        <w:rPr>
          <w:rFonts w:cstheme="minorHAnsi"/>
          <w:i/>
          <w:sz w:val="20"/>
          <w:szCs w:val="20"/>
        </w:rPr>
        <w:t>ex</w:t>
      </w:r>
      <w:r>
        <w:rPr>
          <w:rFonts w:cstheme="minorHAnsi"/>
          <w:sz w:val="20"/>
          <w:szCs w:val="20"/>
        </w:rPr>
        <w:t xml:space="preserve"> art. 144 D.lgs. n. 101/2018.  </w:t>
      </w:r>
    </w:p>
    <w:sectPr w:rsidR="00B71679" w:rsidSect="00B71679">
      <w:headerReference w:type="default" r:id="rId11"/>
      <w:pgSz w:w="11906" w:h="16838"/>
      <w:pgMar w:top="1385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2D" w:rsidRDefault="00D5672D" w:rsidP="00B71679">
      <w:pPr>
        <w:spacing w:after="0" w:line="240" w:lineRule="auto"/>
      </w:pPr>
      <w:r>
        <w:separator/>
      </w:r>
    </w:p>
  </w:endnote>
  <w:endnote w:type="continuationSeparator" w:id="1">
    <w:p w:rsidR="00D5672D" w:rsidRDefault="00D5672D" w:rsidP="00B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2D" w:rsidRDefault="00D5672D" w:rsidP="00B71679">
      <w:pPr>
        <w:spacing w:after="0" w:line="240" w:lineRule="auto"/>
      </w:pPr>
      <w:r>
        <w:separator/>
      </w:r>
    </w:p>
  </w:footnote>
  <w:footnote w:type="continuationSeparator" w:id="1">
    <w:p w:rsidR="00D5672D" w:rsidRDefault="00D5672D" w:rsidP="00B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1"/>
      <w:tblW w:w="10065" w:type="dxa"/>
      <w:jc w:val="center"/>
      <w:tblLayout w:type="fixed"/>
      <w:tblLook w:val="04A0"/>
    </w:tblPr>
    <w:tblGrid>
      <w:gridCol w:w="7940"/>
      <w:gridCol w:w="2125"/>
    </w:tblGrid>
    <w:tr w:rsidR="00B71679">
      <w:trPr>
        <w:trHeight w:val="841"/>
        <w:jc w:val="center"/>
      </w:trPr>
      <w:tc>
        <w:tcPr>
          <w:tcW w:w="7939" w:type="dxa"/>
          <w:tcBorders>
            <w:top w:val="nil"/>
            <w:left w:val="nil"/>
            <w:bottom w:val="nil"/>
            <w:right w:val="nil"/>
          </w:tcBorders>
        </w:tcPr>
        <w:p w:rsidR="00B71679" w:rsidRDefault="00B71679">
          <w:pPr>
            <w:widowControl w:val="0"/>
            <w:spacing w:after="0" w:line="240" w:lineRule="auto"/>
            <w:rPr>
              <w:rFonts w:cstheme="minorHAnsi"/>
            </w:rPr>
          </w:pPr>
        </w:p>
      </w:tc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1679" w:rsidRDefault="00B71679">
          <w:pPr>
            <w:widowControl w:val="0"/>
            <w:tabs>
              <w:tab w:val="left" w:pos="2852"/>
            </w:tabs>
            <w:spacing w:after="0" w:line="240" w:lineRule="auto"/>
            <w:jc w:val="right"/>
            <w:rPr>
              <w:rFonts w:cstheme="minorHAnsi"/>
            </w:rPr>
          </w:pPr>
        </w:p>
      </w:tc>
    </w:tr>
  </w:tbl>
  <w:p w:rsidR="00B71679" w:rsidRDefault="00B71679">
    <w:pPr>
      <w:pStyle w:val="Header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5077"/>
    <w:multiLevelType w:val="multilevel"/>
    <w:tmpl w:val="D4FEAAB6"/>
    <w:lvl w:ilvl="0">
      <w:numFmt w:val="bullet"/>
      <w:lvlText w:val="-"/>
      <w:lvlJc w:val="left"/>
      <w:pPr>
        <w:tabs>
          <w:tab w:val="num" w:pos="0"/>
        </w:tabs>
        <w:ind w:left="474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4" w:hanging="360"/>
      </w:pPr>
      <w:rPr>
        <w:rFonts w:ascii="Wingdings" w:hAnsi="Wingdings" w:cs="Wingdings" w:hint="default"/>
      </w:rPr>
    </w:lvl>
  </w:abstractNum>
  <w:abstractNum w:abstractNumId="1">
    <w:nsid w:val="1501698B"/>
    <w:multiLevelType w:val="multilevel"/>
    <w:tmpl w:val="7F36A9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9D005E9"/>
    <w:multiLevelType w:val="multilevel"/>
    <w:tmpl w:val="B248F1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467B2"/>
    <w:multiLevelType w:val="multilevel"/>
    <w:tmpl w:val="DCB6F1E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2080D"/>
    <w:multiLevelType w:val="multilevel"/>
    <w:tmpl w:val="F78E87FE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876BD"/>
    <w:multiLevelType w:val="multilevel"/>
    <w:tmpl w:val="2252F7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13920C2"/>
    <w:multiLevelType w:val="multilevel"/>
    <w:tmpl w:val="C0E23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D2560AF"/>
    <w:multiLevelType w:val="multilevel"/>
    <w:tmpl w:val="BD4457FC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E05F95"/>
    <w:multiLevelType w:val="multilevel"/>
    <w:tmpl w:val="563CC9D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679"/>
    <w:rsid w:val="00504D76"/>
    <w:rsid w:val="00B71679"/>
    <w:rsid w:val="00D5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B9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1A4686"/>
    <w:rPr>
      <w:color w:val="0000FF" w:themeColor="hyperlink"/>
      <w:u w:val="single"/>
    </w:rPr>
  </w:style>
  <w:style w:type="character" w:customStyle="1" w:styleId="highlight">
    <w:name w:val="highlight"/>
    <w:basedOn w:val="Carpredefinitoparagrafo"/>
    <w:qFormat/>
    <w:rsid w:val="0017617D"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196C82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196C8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D37BB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B168C6"/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B6D22"/>
    <w:rPr>
      <w:color w:val="605E5C"/>
      <w:shd w:val="clear" w:color="auto" w:fill="E1DFDD"/>
    </w:rPr>
  </w:style>
  <w:style w:type="paragraph" w:styleId="Titolo">
    <w:name w:val="Title"/>
    <w:basedOn w:val="Normale"/>
    <w:next w:val="Corpodeltesto"/>
    <w:qFormat/>
    <w:rsid w:val="00B716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B168C6"/>
    <w:pPr>
      <w:widowControl w:val="0"/>
      <w:spacing w:after="0" w:line="240" w:lineRule="auto"/>
      <w:ind w:left="114"/>
      <w:jc w:val="both"/>
    </w:pPr>
    <w:rPr>
      <w:rFonts w:ascii="Trebuchet MS" w:eastAsia="Trebuchet MS" w:hAnsi="Trebuchet MS" w:cs="Trebuchet MS"/>
      <w:sz w:val="24"/>
      <w:szCs w:val="24"/>
      <w:lang w:val="en-US"/>
    </w:rPr>
  </w:style>
  <w:style w:type="paragraph" w:styleId="Elenco">
    <w:name w:val="List"/>
    <w:basedOn w:val="Corpodeltesto"/>
    <w:rsid w:val="00B71679"/>
    <w:rPr>
      <w:rFonts w:cs="Arial"/>
    </w:rPr>
  </w:style>
  <w:style w:type="paragraph" w:customStyle="1" w:styleId="Caption">
    <w:name w:val="Caption"/>
    <w:basedOn w:val="Normale"/>
    <w:qFormat/>
    <w:rsid w:val="00B716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71679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qFormat/>
    <w:rsid w:val="0086096E"/>
    <w:pPr>
      <w:widowControl w:val="0"/>
      <w:spacing w:after="0" w:line="42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epidipagina">
    <w:name w:val="Intestazione e piè di pagina"/>
    <w:basedOn w:val="Normale"/>
    <w:qFormat/>
    <w:rsid w:val="00B71679"/>
  </w:style>
  <w:style w:type="paragraph" w:customStyle="1" w:styleId="Header">
    <w:name w:val="Header"/>
    <w:basedOn w:val="Normale"/>
    <w:link w:val="IntestazioneCarattere"/>
    <w:uiPriority w:val="99"/>
    <w:unhideWhenUsed/>
    <w:rsid w:val="00196C8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196C8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D37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D37BB"/>
    <w:pPr>
      <w:widowControl w:val="0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739C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5021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1">
    <w:name w:val="Intestazione1"/>
    <w:basedOn w:val="Normale"/>
    <w:next w:val="Corpodeltesto"/>
    <w:qFormat/>
    <w:rsid w:val="006B6D22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table" w:styleId="Grigliatabella">
    <w:name w:val="Table Grid"/>
    <w:basedOn w:val="Tabellanormale"/>
    <w:uiPriority w:val="59"/>
    <w:rsid w:val="003736C7"/>
    <w:rPr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762B13"/>
    <w:rPr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dpo@asmel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EN/TXT/?uri=CELEX%3A32004D09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mel@asmel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2BEC-AC59-4E0A-ACDC-C409322A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1282</Words>
  <Characters>7309</Characters>
  <Application>Microsoft Office Word</Application>
  <DocSecurity>0</DocSecurity>
  <Lines>60</Lines>
  <Paragraphs>17</Paragraphs>
  <ScaleCrop>false</ScaleCrop>
  <Company>COMUNE DI AOSTA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</dc:creator>
  <cp:lastModifiedBy>Casa</cp:lastModifiedBy>
  <cp:revision>2</cp:revision>
  <cp:lastPrinted>2023-02-10T14:59:00Z</cp:lastPrinted>
  <dcterms:created xsi:type="dcterms:W3CDTF">2024-03-26T18:16:00Z</dcterms:created>
  <dcterms:modified xsi:type="dcterms:W3CDTF">2024-03-26T18:16:00Z</dcterms:modified>
  <dc:language>it-IT</dc:language>
</cp:coreProperties>
</file>