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363636"/>
          <w:sz w:val="30"/>
          <w:szCs w:val="30"/>
          <w:highlight w:val="white"/>
        </w:rPr>
      </w:pPr>
      <w:bookmarkStart w:colFirst="0" w:colLast="0" w:name="_heading=h.um8mkaxnqg2u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363636"/>
          <w:sz w:val="30"/>
          <w:szCs w:val="30"/>
          <w:highlight w:val="white"/>
          <w:rtl w:val="0"/>
        </w:rPr>
        <w:t xml:space="preserve">Rigenerazione urbana: il Sindaco Pannone parteciperà al convegno sui quartieri PSER extra-urbani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363636"/>
          <w:highlight w:val="white"/>
        </w:rPr>
      </w:pPr>
      <w:bookmarkStart w:colFirst="0" w:colLast="0" w:name="_heading=h.ss0rxaadenq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b w:val="0"/>
          <w:color w:val="363636"/>
          <w:highlight w:val="white"/>
        </w:rPr>
      </w:pPr>
      <w:bookmarkStart w:colFirst="0" w:colLast="0" w:name="_heading=h.wt1xaulqjtn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color w:val="363636"/>
          <w:highlight w:val="white"/>
          <w:rtl w:val="0"/>
        </w:rPr>
        <w:t xml:space="preserve">Il Sindaco di Afragola, </w:t>
      </w:r>
      <w:r w:rsidDel="00000000" w:rsidR="00000000" w:rsidRPr="00000000">
        <w:rPr>
          <w:rFonts w:ascii="Times New Roman" w:cs="Times New Roman" w:eastAsia="Times New Roman" w:hAnsi="Times New Roman"/>
          <w:color w:val="363636"/>
          <w:highlight w:val="white"/>
          <w:rtl w:val="0"/>
        </w:rPr>
        <w:t xml:space="preserve">Prof. Antonio Pannone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363636"/>
          <w:highlight w:val="white"/>
          <w:rtl w:val="0"/>
        </w:rPr>
        <w:t xml:space="preserve">, oggi pomeriggio, parteciperà alla tavola rotonda, del Convegno “I quartieri PSER extra – urbani. Bilanci e prospettive di rigenerazione” che si terrà nella Chiesa dei Santi Demetrio e Bonifacio.  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b w:val="0"/>
          <w:color w:val="363636"/>
          <w:highlight w:val="white"/>
        </w:rPr>
      </w:pPr>
      <w:bookmarkStart w:colFirst="0" w:colLast="0" w:name="_heading=h.dhbduigahb1u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color w:val="363636"/>
          <w:highlight w:val="white"/>
          <w:rtl w:val="0"/>
        </w:rPr>
        <w:t xml:space="preserve">Il Convegno presenta i risultati della Ricerca "Rigenerazione urbana delle Periferie PSER (Programma Straordinario di Edilizia Residenziale) tra Natura e Cultura" finanziata dalla Regione Campania nell'ambito della Promozione della Qualità dell'Architettura annualità 2023, e realizzata dalla collaborazione del Dipartimento di architettura dell’Università Federico II di Napoli (DIARC) e del Dipartimento di ingegneria Civile, Edile e Ambientale (Dcea), nonché Centro interdipartimentale di ricerca in Urbanistica  (CirURB). 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b w:val="0"/>
          <w:color w:val="363636"/>
          <w:highlight w:val="white"/>
        </w:rPr>
      </w:pPr>
      <w:bookmarkStart w:colFirst="0" w:colLast="0" w:name="_heading=h.h6524uuukrhl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color w:val="363636"/>
          <w:highlight w:val="white"/>
          <w:rtl w:val="0"/>
        </w:rPr>
        <w:t xml:space="preserve">A partire dagli esiti della ricerca, si traggono spunti per una riflessione che coinvolge esperti, amministratori, tecnici e operatori del terzo settore sul tema dell'edilizia residenziale pubblica.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b w:val="0"/>
          <w:color w:val="363636"/>
          <w:highlight w:val="white"/>
        </w:rPr>
      </w:pPr>
      <w:bookmarkStart w:colFirst="0" w:colLast="0" w:name="_heading=h.ahjg4gcqu1mk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485"/>
        </w:tabs>
        <w:spacing w:after="240" w:before="240" w:line="276" w:lineRule="auto"/>
        <w:rPr>
          <w:rFonts w:ascii="Times New Roman" w:cs="Times New Roman" w:eastAsia="Times New Roman" w:hAnsi="Times New Roman"/>
          <w:b w:val="0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22222"/>
          <w:highlight w:val="white"/>
          <w:rtl w:val="0"/>
        </w:rPr>
        <w:t xml:space="preserve">Afragola, lì 14/05/2025</w:t>
      </w:r>
    </w:p>
    <w:p w:rsidR="00000000" w:rsidDel="00000000" w:rsidP="00000000" w:rsidRDefault="00000000" w:rsidRPr="00000000" w14:paraId="00000008">
      <w:pPr>
        <w:tabs>
          <w:tab w:val="left" w:leader="none" w:pos="5485"/>
        </w:tabs>
        <w:spacing w:after="240" w:before="240" w:lineRule="auto"/>
        <w:jc w:val="right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</w:rPr>
        <w:drawing>
          <wp:inline distB="114300" distT="114300" distL="114300" distR="114300">
            <wp:extent cx="1795529" cy="62747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5529" cy="6274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7" w:w="11900" w:orient="portrait"/>
      <w:pgMar w:bottom="1134" w:top="1134" w:left="1134" w:right="1134" w:header="283" w:footer="85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Città di Afragola – Servizi Informatici</w: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Città di Afragola - Servizio Comunicazione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bookmarkStart w:colFirst="0" w:colLast="0" w:name="_heading=h.30j0zll" w:id="7"/>
    <w:bookmarkEnd w:id="7"/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Città di Afragola – Serviz</w:t>
    </w:r>
    <w:r w:rsidDel="00000000" w:rsidR="00000000" w:rsidRPr="00000000">
      <w:rPr>
        <w:rFonts w:ascii="Times New Roman" w:cs="Times New Roman" w:eastAsia="Times New Roman" w:hAnsi="Times New Roman"/>
        <w:b w:val="0"/>
        <w:sz w:val="16"/>
        <w:szCs w:val="16"/>
        <w:rtl w:val="0"/>
      </w:rPr>
      <w:t xml:space="preserve">io Comunicazione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</w:rPr>
    </w:pPr>
    <w:bookmarkStart w:colFirst="0" w:colLast="0" w:name="_heading=h.gjdgxs" w:id="6"/>
    <w:bookmarkEnd w:id="6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jc w:val="center"/>
      <w:rPr/>
    </w:pPr>
    <w:r w:rsidDel="00000000" w:rsidR="00000000" w:rsidRPr="00000000">
      <w:rPr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color w:val="222222"/>
        <w:highlight w:val="white"/>
      </w:rPr>
    </w:pPr>
    <w:r w:rsidDel="00000000" w:rsidR="00000000" w:rsidRPr="00000000">
      <w:rPr>
        <w:rFonts w:ascii="Times" w:cs="Times" w:eastAsia="Times" w:hAnsi="Times"/>
        <w:b w:val="1"/>
        <w:i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color w:val="222222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114300</wp:posOffset>
          </wp:positionV>
          <wp:extent cx="1199859" cy="1310958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9859" cy="13109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70"/>
        <w:szCs w:val="7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68"/>
        <w:szCs w:val="6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70"/>
        <w:szCs w:val="70"/>
        <w:u w:val="none"/>
        <w:shd w:fill="auto" w:val="clear"/>
        <w:vertAlign w:val="baseline"/>
        <w:rtl w:val="0"/>
      </w:rPr>
      <w:t xml:space="preserve">CITT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232323"/>
        <w:sz w:val="70"/>
        <w:szCs w:val="70"/>
        <w:highlight w:val="white"/>
        <w:u w:val="none"/>
        <w:vertAlign w:val="baseline"/>
        <w:rtl w:val="0"/>
      </w:rPr>
      <w:t xml:space="preserve">À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70"/>
        <w:szCs w:val="70"/>
        <w:u w:val="none"/>
        <w:shd w:fill="auto" w:val="clear"/>
        <w:vertAlign w:val="baseline"/>
        <w:rtl w:val="0"/>
      </w:rPr>
      <w:t xml:space="preserve"> DI AFRAGOLA</w:t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288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     Città Metropolitana di Napoli</w:t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2880" w:right="0" w:firstLine="0"/>
      <w:jc w:val="left"/>
      <w:rPr>
        <w:rFonts w:ascii="Times New Roman" w:cs="Times New Roman" w:eastAsia="Times New Roman" w:hAnsi="Times New Roman"/>
        <w:sz w:val="40"/>
        <w:szCs w:val="40"/>
      </w:rPr>
    </w:pPr>
    <w:r w:rsidDel="00000000" w:rsidR="00000000" w:rsidRPr="00000000">
      <w:rPr>
        <w:rFonts w:ascii="Times New Roman" w:cs="Times New Roman" w:eastAsia="Times New Roman" w:hAnsi="Times New Roman"/>
        <w:sz w:val="40"/>
        <w:szCs w:val="40"/>
        <w:rtl w:val="0"/>
      </w:rPr>
      <w:t xml:space="preserve">          Servizio Comunicazione</w:t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b w:val="1"/>
        <w:sz w:val="28"/>
        <w:szCs w:val="28"/>
        <w:lang w:val="it-IT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" w:cs="Times" w:eastAsia="Times" w:hAnsi="Times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80808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80808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Normale" w:default="1">
    <w:name w:val="Normal"/>
    <w:qFormat w:val="1"/>
    <w:pPr>
      <w:widowControl w:val="1"/>
      <w:jc w:val="both"/>
    </w:pPr>
    <w:rPr>
      <w:rFonts w:ascii="Times New Roman Bold" w:cs="Times New Roman" w:eastAsia="ヒラギノ角ゴ Pro W3" w:hAnsi="Times New Roman Bold"/>
      <w:color w:val="000000"/>
      <w:sz w:val="28"/>
      <w:szCs w:val="20"/>
    </w:rPr>
  </w:style>
  <w:style w:type="paragraph" w:styleId="Titolo1">
    <w:name w:val="heading 1"/>
    <w:next w:val="Normale"/>
    <w:uiPriority w:val="9"/>
    <w:qFormat w:val="1"/>
    <w:pPr>
      <w:keepNext w:val="1"/>
      <w:widowControl w:val="1"/>
      <w:jc w:val="center"/>
      <w:outlineLvl w:val="0"/>
    </w:pPr>
    <w:rPr>
      <w:rFonts w:ascii="Times New Roman Bold" w:cs="Times New Roman" w:eastAsia="ヒラギノ角ゴ Pro W3" w:hAnsi="Times New Roman Bold"/>
      <w:color w:val="000000"/>
      <w:spacing w:val="40"/>
      <w:sz w:val="28"/>
      <w:szCs w:val="20"/>
    </w:rPr>
  </w:style>
  <w:style w:type="paragraph" w:styleId="Titolo2">
    <w:name w:val="heading 2"/>
    <w:basedOn w:val="Heading"/>
    <w:next w:val="Textbody"/>
    <w:uiPriority w:val="9"/>
    <w:semiHidden w:val="1"/>
    <w:unhideWhenUsed w:val="1"/>
    <w:qFormat w:val="1"/>
    <w:pPr>
      <w:spacing w:before="200"/>
      <w:outlineLvl w:val="1"/>
    </w:pPr>
    <w:rPr>
      <w:b w:val="1"/>
      <w:bCs w:val="1"/>
    </w:rPr>
  </w:style>
  <w:style w:type="paragraph" w:styleId="Titolo3">
    <w:name w:val="heading 3"/>
    <w:basedOn w:val="Heading"/>
    <w:next w:val="Textbody"/>
    <w:uiPriority w:val="9"/>
    <w:semiHidden w:val="1"/>
    <w:unhideWhenUsed w:val="1"/>
    <w:qFormat w:val="1"/>
    <w:pPr>
      <w:spacing w:before="140"/>
      <w:outlineLvl w:val="2"/>
    </w:pPr>
    <w:rPr>
      <w:b w:val="1"/>
      <w:bCs w:val="1"/>
      <w:color w:val="808080"/>
    </w:rPr>
  </w:style>
  <w:style w:type="paragraph" w:styleId="Titolo4">
    <w:name w:val="heading 4"/>
    <w:basedOn w:val="Heading"/>
    <w:next w:val="Textbody"/>
    <w:uiPriority w:val="9"/>
    <w:semiHidden w:val="1"/>
    <w:unhideWhenUsed w:val="1"/>
    <w:qFormat w:val="1"/>
    <w:pPr>
      <w:spacing w:before="120"/>
      <w:outlineLvl w:val="3"/>
    </w:pPr>
    <w:rPr>
      <w:rFonts w:ascii="Liberation Serif" w:cs="DejaVu Sans" w:eastAsia="DejaVu Sans" w:hAnsi="Liberation Serif"/>
      <w:b w:val="1"/>
      <w:bCs w:val="1"/>
      <w:color w:val="808080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  <w:suppressAutoHyphens w:val="1"/>
    </w:pPr>
    <w:rPr>
      <w:rFonts w:cs="Times New Roman" w:eastAsia="Times New Roman"/>
      <w:lang w:val="en-US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cs="Tahoma" w:eastAsia="Arial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 w:val="1"/>
      <w:spacing w:after="120" w:before="120"/>
    </w:pPr>
    <w:rPr>
      <w:rFonts w:cs="Tahoma"/>
      <w:i w:val="1"/>
      <w:iCs w:val="1"/>
    </w:rPr>
  </w:style>
  <w:style w:type="paragraph" w:styleId="Index" w:customStyle="1">
    <w:name w:val="Index"/>
    <w:basedOn w:val="Standard"/>
    <w:pPr>
      <w:suppressLineNumbers w:val="1"/>
    </w:pPr>
    <w:rPr>
      <w:rFonts w:cs="Tahoma"/>
    </w:rPr>
  </w:style>
  <w:style w:type="paragraph" w:styleId="HeaderandFooter" w:customStyle="1">
    <w:name w:val="Header and Footer"/>
    <w:pPr>
      <w:widowControl w:val="1"/>
    </w:pPr>
    <w:rPr>
      <w:rFonts w:ascii="Helvetica" w:cs="Times New Roman" w:eastAsia="ヒラギノ角ゴ Pro W3" w:hAnsi="Helvetica"/>
      <w:color w:val="000000"/>
      <w:sz w:val="20"/>
      <w:szCs w:val="20"/>
    </w:rPr>
  </w:style>
  <w:style w:type="paragraph" w:styleId="Corpo" w:customStyle="1">
    <w:name w:val="Corpo"/>
    <w:pPr>
      <w:widowControl w:val="1"/>
    </w:pPr>
    <w:rPr>
      <w:rFonts w:ascii="Helvetica" w:cs="Times New Roman" w:eastAsia="ヒラギノ角ゴ Pro W3" w:hAnsi="Helvetica"/>
      <w:color w:val="000000"/>
      <w:szCs w:val="20"/>
    </w:rPr>
  </w:style>
  <w:style w:type="paragraph" w:styleId="Pidipagina">
    <w:name w:val="footer"/>
    <w:basedOn w:val="Standard"/>
    <w:pPr>
      <w:suppressLineNumbers w:val="1"/>
      <w:tabs>
        <w:tab w:val="center" w:pos="4818"/>
        <w:tab w:val="right" w:pos="9637"/>
      </w:tabs>
    </w:pPr>
  </w:style>
  <w:style w:type="paragraph" w:styleId="Intestazione">
    <w:name w:val="header"/>
    <w:basedOn w:val="Standard"/>
    <w:pPr>
      <w:suppressLineNumbers w:val="1"/>
      <w:tabs>
        <w:tab w:val="center" w:pos="4818"/>
        <w:tab w:val="right" w:pos="9637"/>
      </w:tabs>
    </w:pPr>
  </w:style>
  <w:style w:type="paragraph" w:styleId="Schedatesto" w:customStyle="1">
    <w:name w:val="Scheda testo"/>
    <w:pPr>
      <w:suppressAutoHyphens w:val="1"/>
      <w:spacing w:line="280" w:lineRule="atLeast"/>
      <w:jc w:val="both"/>
      <w:textAlignment w:val="auto"/>
    </w:pPr>
    <w:rPr>
      <w:rFonts w:ascii="RotisSerif" w:cs="RotisSerif" w:eastAsia="RotisSerif" w:hAnsi="RotisSerif"/>
      <w:spacing w:val="-15"/>
    </w:rPr>
  </w:style>
  <w:style w:type="paragraph" w:styleId="Schedarientro" w:customStyle="1">
    <w:name w:val="Scheda rientro"/>
    <w:basedOn w:val="Schedatesto"/>
    <w:pPr>
      <w:tabs>
        <w:tab w:val="left" w:pos="283"/>
      </w:tabs>
      <w:ind w:left="283" w:hanging="283"/>
    </w:pPr>
  </w:style>
  <w:style w:type="paragraph" w:styleId="A7" w:customStyle="1">
    <w:name w:val="A7"/>
    <w:pPr>
      <w:suppressAutoHyphens w:val="1"/>
      <w:spacing w:line="140" w:lineRule="atLeast"/>
      <w:jc w:val="both"/>
      <w:textAlignment w:val="auto"/>
    </w:pPr>
    <w:rPr>
      <w:rFonts w:ascii="RotisSerif" w:cs="RotisSerif" w:eastAsia="RotisSerif" w:hAnsi="RotisSerif"/>
      <w:color w:val="000000"/>
      <w:spacing w:val="-15"/>
      <w:sz w:val="22"/>
      <w:szCs w:val="22"/>
    </w:rPr>
  </w:style>
  <w:style w:type="paragraph" w:styleId="Testonormale">
    <w:name w:val="Plain Text"/>
    <w:basedOn w:val="Standard"/>
    <w:rPr>
      <w:rFonts w:ascii="Calibri" w:cs="Consolas" w:eastAsia="Calibri" w:hAnsi="Calibri"/>
      <w:sz w:val="22"/>
      <w:szCs w:val="21"/>
    </w:rPr>
  </w:style>
  <w:style w:type="paragraph" w:styleId="Framecontents" w:customStyle="1">
    <w:name w:val="Frame contents"/>
    <w:basedOn w:val="Standard"/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Quotations" w:customStyle="1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uiPriority w:val="10"/>
    <w:qFormat w:val="1"/>
    <w:pPr>
      <w:jc w:val="center"/>
    </w:pPr>
    <w:rPr>
      <w:b w:val="1"/>
      <w:bCs w:val="1"/>
      <w:sz w:val="56"/>
      <w:szCs w:val="56"/>
    </w:rPr>
  </w:style>
  <w:style w:type="paragraph" w:styleId="Sottotitolo">
    <w:name w:val="Subtitle"/>
    <w:basedOn w:val="Heading"/>
    <w:next w:val="Textbody"/>
    <w:uiPriority w:val="11"/>
    <w:qFormat w:val="1"/>
    <w:pPr>
      <w:spacing w:before="60"/>
      <w:jc w:val="center"/>
    </w:pPr>
    <w:rPr>
      <w:sz w:val="36"/>
      <w:szCs w:val="36"/>
    </w:rPr>
  </w:style>
  <w:style w:type="paragraph" w:styleId="Paragrafoelenco">
    <w:name w:val="List Paragraph"/>
    <w:basedOn w:val="Standard"/>
    <w:pPr>
      <w:spacing w:after="200"/>
      <w:ind w:left="720"/>
    </w:pPr>
  </w:style>
  <w:style w:type="character" w:styleId="Internetlink" w:customStyle="1">
    <w:name w:val="Internet link"/>
    <w:rPr>
      <w:color w:val="000080"/>
      <w:u w:val="single"/>
    </w:rPr>
  </w:style>
  <w:style w:type="character" w:styleId="BulletSymbols" w:customStyle="1">
    <w:name w:val="Bullet Symbols"/>
    <w:rPr>
      <w:rFonts w:ascii="OpenSymbol" w:cs="OpenSymbol" w:eastAsia="OpenSymbol" w:hAnsi="OpenSymbol"/>
    </w:rPr>
  </w:style>
  <w:style w:type="paragraph" w:styleId="NormaleWeb">
    <w:name w:val="Normal (Web)"/>
    <w:basedOn w:val="Normale"/>
    <w:uiPriority w:val="99"/>
    <w:unhideWhenUsed w:val="1"/>
    <w:rsid w:val="008C7924"/>
    <w:pPr>
      <w:autoSpaceDN w:val="1"/>
      <w:spacing w:after="100" w:afterAutospacing="1" w:before="100" w:beforeAutospacing="1"/>
      <w:jc w:val="left"/>
      <w:textAlignment w:val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60" w:line="240" w:lineRule="auto"/>
      <w:ind w:left="0" w:right="0" w:firstLine="0"/>
      <w:jc w:val="center"/>
    </w:pPr>
    <w:rPr>
      <w:rFonts w:ascii="Arial" w:cs="Arial" w:eastAsia="Arial" w:hAnsi="Arial"/>
      <w:b w:val="0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6K2YilZRRzD+3Zsaau6bIQlTZA==">CgMxLjAyDmgudW04bWtheG5xZzJ1Mg5oLnNzMHJ4YWFkZW5xMDINaC53dDF4YXVscWp0bjIOaC5kaGJkdWlnYWhiMXUyDmguaDY1MjR1dXVrcmhsMg5oLmFoamc0Z2NxdTFtazIIaC5namRneHMyCWguMzBqMHpsbDgAciExNzk4ZWJoSGRZMmEtTjVoRUxUalpETjNtR1U3NmgzSFU=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2023-09-12T11:56:00Z</dcterms:created>
  <dc:creator>Luca Aruta</dc:creator>
</cp:coreProperties>
</file>